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FE1" w:rsidRPr="00B1632F" w:rsidRDefault="00E40F91">
      <w:pPr>
        <w:pBdr>
          <w:bottom w:val="single" w:sz="8" w:space="1" w:color="2E75B6"/>
        </w:pBdr>
        <w:spacing w:before="320" w:after="120"/>
        <w:rPr>
          <w:rFonts w:ascii="Lato" w:hAnsi="Lato"/>
          <w:sz w:val="20"/>
          <w:szCs w:val="20"/>
        </w:rPr>
      </w:pPr>
      <w:r w:rsidRPr="00B1632F">
        <w:rPr>
          <w:rFonts w:ascii="Lato" w:hAnsi="Lato"/>
          <w:b/>
          <w:bCs/>
          <w:color w:val="2E75B6"/>
          <w:sz w:val="20"/>
          <w:szCs w:val="20"/>
        </w:rPr>
        <w:t>1. LATAR BELAKANG</w:t>
      </w:r>
    </w:p>
    <w:p w:rsidR="0023335A" w:rsidRPr="00B1632F" w:rsidRDefault="0023335A" w:rsidP="0023335A">
      <w:pPr>
        <w:spacing w:before="100" w:after="80"/>
        <w:jc w:val="both"/>
        <w:rPr>
          <w:rFonts w:ascii="Lato" w:hAnsi="Lato"/>
          <w:color w:val="222222"/>
          <w:sz w:val="20"/>
          <w:szCs w:val="20"/>
        </w:rPr>
      </w:pPr>
      <w:proofErr w:type="spellStart"/>
      <w:r w:rsidRPr="00B1632F">
        <w:rPr>
          <w:rFonts w:ascii="Lato" w:hAnsi="Lato"/>
          <w:color w:val="222222"/>
          <w:sz w:val="20"/>
          <w:szCs w:val="20"/>
        </w:rPr>
        <w:t>Wahana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Visi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Indonesia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adalah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organisasi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kemanusiaan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Kristen yang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hadir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melayani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dan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berkolaborasi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dalam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pemberdayaan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anak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,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keluargadan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masyarakat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yang paling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rentan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melalui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pendekatan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pengembangan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masyarakat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,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advokasi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dan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tanggap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bencana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untuk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membawaperubahan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yang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berkesinambungan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tanpa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membedakan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agama,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ras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,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suku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>, dan gender.</w:t>
      </w:r>
    </w:p>
    <w:p w:rsidR="0023335A" w:rsidRPr="00B1632F" w:rsidRDefault="0023335A" w:rsidP="0023335A">
      <w:pPr>
        <w:spacing w:before="100" w:after="80"/>
        <w:jc w:val="both"/>
        <w:rPr>
          <w:rFonts w:ascii="Lato" w:hAnsi="Lato"/>
          <w:color w:val="222222"/>
          <w:sz w:val="20"/>
          <w:szCs w:val="20"/>
        </w:rPr>
      </w:pPr>
      <w:proofErr w:type="spellStart"/>
      <w:r w:rsidRPr="00B1632F">
        <w:rPr>
          <w:rFonts w:ascii="Lato" w:hAnsi="Lato"/>
          <w:color w:val="222222"/>
          <w:sz w:val="20"/>
          <w:szCs w:val="20"/>
        </w:rPr>
        <w:t>Lebih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dari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25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tahun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, Yayasan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Wahana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Visi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Indonesia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telah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menjalankan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program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pengembangan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masyarakat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yang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berfokus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pada </w:t>
      </w:r>
      <w:proofErr w:type="spellStart"/>
      <w:proofErr w:type="gramStart"/>
      <w:r w:rsidRPr="00B1632F">
        <w:rPr>
          <w:rFonts w:ascii="Lato" w:hAnsi="Lato"/>
          <w:color w:val="222222"/>
          <w:sz w:val="20"/>
          <w:szCs w:val="20"/>
        </w:rPr>
        <w:t>anak.Jutaan</w:t>
      </w:r>
      <w:proofErr w:type="spellEnd"/>
      <w:proofErr w:type="gram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anak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di Indonesia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telah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merasakan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manfaat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program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pendampingan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WVI</w:t>
      </w:r>
    </w:p>
    <w:p w:rsidR="00105FE1" w:rsidRPr="00B1632F" w:rsidRDefault="0023335A">
      <w:pPr>
        <w:spacing w:before="100" w:after="80"/>
        <w:rPr>
          <w:rFonts w:ascii="Lato" w:hAnsi="Lato"/>
          <w:sz w:val="20"/>
          <w:szCs w:val="20"/>
        </w:rPr>
      </w:pPr>
      <w:proofErr w:type="spellStart"/>
      <w:r w:rsidRPr="00B1632F">
        <w:rPr>
          <w:rFonts w:ascii="Lato" w:hAnsi="Lato"/>
          <w:color w:val="222222"/>
          <w:sz w:val="20"/>
          <w:szCs w:val="20"/>
        </w:rPr>
        <w:t>Wahana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Visi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Indonesia</w:t>
      </w:r>
      <w:r w:rsidR="00E40F91"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="00E40F91" w:rsidRPr="00B1632F">
        <w:rPr>
          <w:rFonts w:ascii="Lato" w:hAnsi="Lato"/>
          <w:color w:val="222222"/>
          <w:sz w:val="20"/>
          <w:szCs w:val="20"/>
        </w:rPr>
        <w:t>bermaksud</w:t>
      </w:r>
      <w:proofErr w:type="spellEnd"/>
      <w:r w:rsidR="00E40F91"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="00E40F91" w:rsidRPr="00B1632F">
        <w:rPr>
          <w:rFonts w:ascii="Lato" w:hAnsi="Lato"/>
          <w:color w:val="222222"/>
          <w:sz w:val="20"/>
          <w:szCs w:val="20"/>
        </w:rPr>
        <w:t>melaksanakan</w:t>
      </w:r>
      <w:proofErr w:type="spellEnd"/>
      <w:r w:rsidR="00E40F91" w:rsidRPr="00B1632F">
        <w:rPr>
          <w:rFonts w:ascii="Lato" w:hAnsi="Lato"/>
          <w:color w:val="222222"/>
          <w:sz w:val="20"/>
          <w:szCs w:val="20"/>
        </w:rPr>
        <w:t xml:space="preserve"> proses </w:t>
      </w:r>
      <w:proofErr w:type="spellStart"/>
      <w:r w:rsidR="00E40F91" w:rsidRPr="00B1632F">
        <w:rPr>
          <w:rFonts w:ascii="Lato" w:hAnsi="Lato"/>
          <w:color w:val="222222"/>
          <w:sz w:val="20"/>
          <w:szCs w:val="20"/>
        </w:rPr>
        <w:t>Pra-Kualifikasi</w:t>
      </w:r>
      <w:proofErr w:type="spellEnd"/>
      <w:r w:rsidR="00E40F91" w:rsidRPr="00B1632F">
        <w:rPr>
          <w:rFonts w:ascii="Lato" w:hAnsi="Lato"/>
          <w:color w:val="222222"/>
          <w:sz w:val="20"/>
          <w:szCs w:val="20"/>
        </w:rPr>
        <w:t xml:space="preserve"> (Pre-Qualification / PQ) </w:t>
      </w:r>
      <w:proofErr w:type="spellStart"/>
      <w:r w:rsidR="00E40F91" w:rsidRPr="00B1632F">
        <w:rPr>
          <w:rFonts w:ascii="Lato" w:hAnsi="Lato"/>
          <w:color w:val="222222"/>
          <w:sz w:val="20"/>
          <w:szCs w:val="20"/>
        </w:rPr>
        <w:t>terhadap</w:t>
      </w:r>
      <w:proofErr w:type="spellEnd"/>
      <w:r w:rsidR="00E40F91"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="00E40F91" w:rsidRPr="00B1632F">
        <w:rPr>
          <w:rFonts w:ascii="Lato" w:hAnsi="Lato"/>
          <w:color w:val="222222"/>
          <w:sz w:val="20"/>
          <w:szCs w:val="20"/>
        </w:rPr>
        <w:t>calon</w:t>
      </w:r>
      <w:proofErr w:type="spellEnd"/>
      <w:r w:rsidR="00E40F91"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="00E40F91" w:rsidRPr="00B1632F">
        <w:rPr>
          <w:rFonts w:ascii="Lato" w:hAnsi="Lato"/>
          <w:color w:val="222222"/>
          <w:sz w:val="20"/>
          <w:szCs w:val="20"/>
        </w:rPr>
        <w:t>pemasok</w:t>
      </w:r>
      <w:proofErr w:type="spellEnd"/>
      <w:r w:rsidR="00E40F91" w:rsidRPr="00B1632F">
        <w:rPr>
          <w:rFonts w:ascii="Lato" w:hAnsi="Lato"/>
          <w:color w:val="222222"/>
          <w:sz w:val="20"/>
          <w:szCs w:val="20"/>
        </w:rPr>
        <w:t xml:space="preserve"> Pipa HDPE (High Density Polyethylene) dan </w:t>
      </w:r>
      <w:proofErr w:type="spellStart"/>
      <w:r w:rsidR="00E40F91" w:rsidRPr="00B1632F">
        <w:rPr>
          <w:rFonts w:ascii="Lato" w:hAnsi="Lato"/>
          <w:color w:val="222222"/>
          <w:sz w:val="20"/>
          <w:szCs w:val="20"/>
        </w:rPr>
        <w:t>Aksesoris</w:t>
      </w:r>
      <w:proofErr w:type="spellEnd"/>
      <w:r w:rsidR="00E40F91" w:rsidRPr="00B1632F">
        <w:rPr>
          <w:rFonts w:ascii="Lato" w:hAnsi="Lato"/>
          <w:color w:val="222222"/>
          <w:sz w:val="20"/>
          <w:szCs w:val="20"/>
        </w:rPr>
        <w:t xml:space="preserve"> Pipa </w:t>
      </w:r>
      <w:proofErr w:type="spellStart"/>
      <w:r w:rsidR="00E40F91" w:rsidRPr="00B1632F">
        <w:rPr>
          <w:rFonts w:ascii="Lato" w:hAnsi="Lato"/>
          <w:color w:val="222222"/>
          <w:sz w:val="20"/>
          <w:szCs w:val="20"/>
        </w:rPr>
        <w:t>guna</w:t>
      </w:r>
      <w:proofErr w:type="spellEnd"/>
      <w:r w:rsidR="00E40F91"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="00E40F91" w:rsidRPr="00B1632F">
        <w:rPr>
          <w:rFonts w:ascii="Lato" w:hAnsi="Lato"/>
          <w:color w:val="222222"/>
          <w:sz w:val="20"/>
          <w:szCs w:val="20"/>
        </w:rPr>
        <w:t>mendukung</w:t>
      </w:r>
      <w:proofErr w:type="spellEnd"/>
      <w:r w:rsidR="00E40F91"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="00E40F91" w:rsidRPr="00B1632F">
        <w:rPr>
          <w:rFonts w:ascii="Lato" w:hAnsi="Lato"/>
          <w:color w:val="222222"/>
          <w:sz w:val="20"/>
          <w:szCs w:val="20"/>
        </w:rPr>
        <w:t>kebutuhan</w:t>
      </w:r>
      <w:proofErr w:type="spellEnd"/>
      <w:r w:rsidR="00E40F91"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="00E40F91" w:rsidRPr="00B1632F">
        <w:rPr>
          <w:rFonts w:ascii="Lato" w:hAnsi="Lato"/>
          <w:color w:val="222222"/>
          <w:sz w:val="20"/>
          <w:szCs w:val="20"/>
        </w:rPr>
        <w:t>operasional</w:t>
      </w:r>
      <w:proofErr w:type="spellEnd"/>
      <w:r w:rsidR="00E40F91" w:rsidRPr="00B1632F">
        <w:rPr>
          <w:rFonts w:ascii="Lato" w:hAnsi="Lato"/>
          <w:color w:val="222222"/>
          <w:sz w:val="20"/>
          <w:szCs w:val="20"/>
        </w:rPr>
        <w:t xml:space="preserve"> dan </w:t>
      </w:r>
      <w:r w:rsidRPr="00B1632F">
        <w:rPr>
          <w:rFonts w:ascii="Lato" w:hAnsi="Lato"/>
          <w:color w:val="222222"/>
          <w:sz w:val="20"/>
          <w:szCs w:val="20"/>
        </w:rPr>
        <w:t xml:space="preserve">program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Wahana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Visi</w:t>
      </w:r>
      <w:proofErr w:type="spellEnd"/>
      <w:r w:rsidR="00E40F91" w:rsidRPr="00B1632F">
        <w:rPr>
          <w:rFonts w:ascii="Lato" w:hAnsi="Lato"/>
          <w:color w:val="222222"/>
          <w:sz w:val="20"/>
          <w:szCs w:val="20"/>
        </w:rPr>
        <w:t>.</w:t>
      </w:r>
    </w:p>
    <w:p w:rsidR="00105FE1" w:rsidRPr="00B1632F" w:rsidRDefault="00E40F91">
      <w:pPr>
        <w:spacing w:before="80" w:after="80"/>
        <w:rPr>
          <w:rFonts w:ascii="Lato" w:hAnsi="Lato"/>
          <w:sz w:val="20"/>
          <w:szCs w:val="20"/>
        </w:rPr>
      </w:pPr>
      <w:proofErr w:type="spellStart"/>
      <w:r w:rsidRPr="00B1632F">
        <w:rPr>
          <w:rFonts w:ascii="Lato" w:hAnsi="Lato"/>
          <w:color w:val="222222"/>
          <w:sz w:val="20"/>
          <w:szCs w:val="20"/>
        </w:rPr>
        <w:t>Pra-Kualifikasi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ini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merupakan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tahap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awal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seleksi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pemasok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sebelum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dilakukan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proses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pengadaan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lebih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lanjut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.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Pemasok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yang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dinyatakan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lolos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PQ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akan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masuk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ke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dalam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Daftar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Pemasok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Terseleksi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(Approved Vendor List / AVL) Perusahaan.</w:t>
      </w:r>
    </w:p>
    <w:p w:rsidR="00105FE1" w:rsidRPr="00B1632F" w:rsidRDefault="00E40F91">
      <w:pPr>
        <w:pBdr>
          <w:bottom w:val="single" w:sz="8" w:space="1" w:color="2E75B6"/>
        </w:pBdr>
        <w:spacing w:before="320" w:after="120"/>
        <w:rPr>
          <w:rFonts w:ascii="Lato" w:hAnsi="Lato"/>
          <w:sz w:val="20"/>
          <w:szCs w:val="20"/>
        </w:rPr>
      </w:pPr>
      <w:r w:rsidRPr="00B1632F">
        <w:rPr>
          <w:rFonts w:ascii="Lato" w:hAnsi="Lato"/>
          <w:b/>
          <w:bCs/>
          <w:color w:val="2E75B6"/>
          <w:sz w:val="20"/>
          <w:szCs w:val="20"/>
        </w:rPr>
        <w:t>2. RUANG LINGKUP MATERIAL</w:t>
      </w:r>
    </w:p>
    <w:p w:rsidR="00105FE1" w:rsidRPr="00B1632F" w:rsidRDefault="00E40F91">
      <w:pPr>
        <w:spacing w:before="100" w:after="80"/>
        <w:rPr>
          <w:rFonts w:ascii="Lato" w:hAnsi="Lato"/>
          <w:sz w:val="20"/>
          <w:szCs w:val="20"/>
        </w:rPr>
      </w:pPr>
      <w:proofErr w:type="spellStart"/>
      <w:r w:rsidRPr="00B1632F">
        <w:rPr>
          <w:rFonts w:ascii="Lato" w:hAnsi="Lato"/>
          <w:color w:val="222222"/>
          <w:sz w:val="20"/>
          <w:szCs w:val="20"/>
        </w:rPr>
        <w:t>Pra-Kualifikasi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ini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mencakup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penyediaan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material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sebagai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berikut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>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3"/>
        <w:gridCol w:w="3199"/>
        <w:gridCol w:w="3637"/>
        <w:gridCol w:w="2199"/>
      </w:tblGrid>
      <w:tr w:rsidR="00105FE1" w:rsidRPr="00B1632F" w:rsidTr="0023335A">
        <w:tc>
          <w:tcPr>
            <w:tcW w:w="60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105FE1" w:rsidRPr="00B1632F" w:rsidRDefault="00E40F9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1632F">
              <w:rPr>
                <w:rFonts w:ascii="Lato" w:hAnsi="Lato"/>
                <w:b/>
                <w:bCs/>
                <w:color w:val="FFFFFF"/>
                <w:sz w:val="20"/>
                <w:szCs w:val="20"/>
              </w:rPr>
              <w:t>No.</w:t>
            </w:r>
          </w:p>
        </w:tc>
        <w:tc>
          <w:tcPr>
            <w:tcW w:w="319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105FE1" w:rsidRPr="00B1632F" w:rsidRDefault="00E40F91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B1632F">
              <w:rPr>
                <w:rFonts w:ascii="Lato" w:hAnsi="Lato"/>
                <w:b/>
                <w:bCs/>
                <w:color w:val="FFFFFF"/>
                <w:sz w:val="20"/>
                <w:szCs w:val="20"/>
              </w:rPr>
              <w:t>Kategori</w:t>
            </w:r>
            <w:proofErr w:type="spellEnd"/>
            <w:r w:rsidRPr="00B1632F">
              <w:rPr>
                <w:rFonts w:ascii="Lato" w:hAnsi="Lato"/>
                <w:b/>
                <w:bCs/>
                <w:color w:val="FFFFFF"/>
                <w:sz w:val="20"/>
                <w:szCs w:val="20"/>
              </w:rPr>
              <w:t xml:space="preserve"> Material</w:t>
            </w:r>
          </w:p>
        </w:tc>
        <w:tc>
          <w:tcPr>
            <w:tcW w:w="3637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105FE1" w:rsidRPr="00B1632F" w:rsidRDefault="00E40F91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B1632F">
              <w:rPr>
                <w:rFonts w:ascii="Lato" w:hAnsi="Lato"/>
                <w:b/>
                <w:bCs/>
                <w:color w:val="FFFFFF"/>
                <w:sz w:val="20"/>
                <w:szCs w:val="20"/>
              </w:rPr>
              <w:t>Spesifikasi</w:t>
            </w:r>
            <w:proofErr w:type="spellEnd"/>
            <w:r w:rsidRPr="00B1632F">
              <w:rPr>
                <w:rFonts w:ascii="Lato" w:hAnsi="Lato"/>
                <w:b/>
                <w:bCs/>
                <w:color w:val="FFFFFF"/>
                <w:sz w:val="20"/>
                <w:szCs w:val="20"/>
              </w:rPr>
              <w:t xml:space="preserve"> Utama</w:t>
            </w:r>
          </w:p>
        </w:tc>
        <w:tc>
          <w:tcPr>
            <w:tcW w:w="219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105FE1" w:rsidRPr="00B1632F" w:rsidRDefault="00E40F91">
            <w:pPr>
              <w:jc w:val="center"/>
              <w:rPr>
                <w:rFonts w:ascii="Lato" w:hAnsi="Lato"/>
                <w:sz w:val="20"/>
                <w:szCs w:val="20"/>
              </w:rPr>
            </w:pPr>
            <w:proofErr w:type="spellStart"/>
            <w:r w:rsidRPr="00B1632F">
              <w:rPr>
                <w:rFonts w:ascii="Lato" w:hAnsi="Lato"/>
                <w:b/>
                <w:bCs/>
                <w:color w:val="FFFFFF"/>
                <w:sz w:val="20"/>
                <w:szCs w:val="20"/>
              </w:rPr>
              <w:t>Standar</w:t>
            </w:r>
            <w:proofErr w:type="spellEnd"/>
            <w:r w:rsidRPr="00B1632F">
              <w:rPr>
                <w:rFonts w:ascii="Lato" w:hAnsi="Lato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B1632F">
              <w:rPr>
                <w:rFonts w:ascii="Lato" w:hAnsi="Lato"/>
                <w:b/>
                <w:bCs/>
                <w:color w:val="FFFFFF"/>
                <w:sz w:val="20"/>
                <w:szCs w:val="20"/>
              </w:rPr>
              <w:t>Referensi</w:t>
            </w:r>
            <w:proofErr w:type="spellEnd"/>
          </w:p>
        </w:tc>
      </w:tr>
      <w:tr w:rsidR="00105FE1" w:rsidRPr="00B1632F" w:rsidTr="0023335A">
        <w:tc>
          <w:tcPr>
            <w:tcW w:w="60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05FE1" w:rsidRPr="00B1632F" w:rsidRDefault="00E40F9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1632F">
              <w:rPr>
                <w:rFonts w:ascii="Lato" w:hAnsi="Lato"/>
                <w:color w:val="222222"/>
                <w:sz w:val="20"/>
                <w:szCs w:val="20"/>
              </w:rPr>
              <w:t>1</w:t>
            </w:r>
          </w:p>
        </w:tc>
        <w:tc>
          <w:tcPr>
            <w:tcW w:w="319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05FE1" w:rsidRPr="00B1632F" w:rsidRDefault="00E40F91">
            <w:pPr>
              <w:rPr>
                <w:rFonts w:ascii="Lato" w:hAnsi="Lato"/>
                <w:sz w:val="20"/>
                <w:szCs w:val="20"/>
              </w:rPr>
            </w:pPr>
            <w:r w:rsidRPr="00B1632F">
              <w:rPr>
                <w:rFonts w:ascii="Lato" w:hAnsi="Lato"/>
                <w:color w:val="222222"/>
                <w:sz w:val="20"/>
                <w:szCs w:val="20"/>
              </w:rPr>
              <w:t>Pipa HDPE</w:t>
            </w:r>
          </w:p>
        </w:tc>
        <w:tc>
          <w:tcPr>
            <w:tcW w:w="3637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05FE1" w:rsidRPr="00B1632F" w:rsidRDefault="00E40F91">
            <w:pPr>
              <w:rPr>
                <w:rFonts w:ascii="Lato" w:hAnsi="Lato"/>
                <w:sz w:val="20"/>
                <w:szCs w:val="20"/>
              </w:rPr>
            </w:pPr>
            <w:r w:rsidRPr="00B1632F">
              <w:rPr>
                <w:rFonts w:ascii="Lato" w:hAnsi="Lato"/>
                <w:color w:val="222222"/>
                <w:sz w:val="20"/>
                <w:szCs w:val="20"/>
              </w:rPr>
              <w:t xml:space="preserve">DN 20 mm s/d DN </w:t>
            </w:r>
            <w:r w:rsidR="0023335A" w:rsidRPr="00B1632F">
              <w:rPr>
                <w:rFonts w:ascii="Lato" w:hAnsi="Lato"/>
                <w:color w:val="222222"/>
                <w:sz w:val="20"/>
                <w:szCs w:val="20"/>
              </w:rPr>
              <w:t>630</w:t>
            </w:r>
            <w:r w:rsidRPr="00B1632F">
              <w:rPr>
                <w:rFonts w:ascii="Lato" w:hAnsi="Lato"/>
                <w:color w:val="222222"/>
                <w:sz w:val="20"/>
                <w:szCs w:val="20"/>
              </w:rPr>
              <w:t xml:space="preserve"> mm, PN </w:t>
            </w:r>
            <w:r w:rsidR="0023335A" w:rsidRPr="00B1632F">
              <w:rPr>
                <w:rFonts w:ascii="Lato" w:hAnsi="Lato"/>
                <w:color w:val="222222"/>
                <w:sz w:val="20"/>
                <w:szCs w:val="20"/>
              </w:rPr>
              <w:t>10</w:t>
            </w:r>
            <w:r w:rsidRPr="00B1632F">
              <w:rPr>
                <w:rFonts w:ascii="Lato" w:hAnsi="Lato"/>
                <w:color w:val="222222"/>
                <w:sz w:val="20"/>
                <w:szCs w:val="20"/>
              </w:rPr>
              <w:t xml:space="preserve"> – PN </w:t>
            </w:r>
            <w:r w:rsidR="0023335A" w:rsidRPr="00B1632F">
              <w:rPr>
                <w:rFonts w:ascii="Lato" w:hAnsi="Lato"/>
                <w:color w:val="222222"/>
                <w:sz w:val="20"/>
                <w:szCs w:val="20"/>
              </w:rPr>
              <w:t>16</w:t>
            </w:r>
            <w:r w:rsidRPr="00B1632F">
              <w:rPr>
                <w:rFonts w:ascii="Lato" w:hAnsi="Lato"/>
                <w:color w:val="222222"/>
                <w:sz w:val="20"/>
                <w:szCs w:val="20"/>
              </w:rPr>
              <w:t xml:space="preserve">, SDR </w:t>
            </w:r>
            <w:r w:rsidR="0023335A" w:rsidRPr="00B1632F">
              <w:rPr>
                <w:rFonts w:ascii="Lato" w:hAnsi="Lato"/>
                <w:color w:val="222222"/>
                <w:sz w:val="20"/>
                <w:szCs w:val="20"/>
              </w:rPr>
              <w:t>11 – SDR 17</w:t>
            </w:r>
          </w:p>
        </w:tc>
        <w:tc>
          <w:tcPr>
            <w:tcW w:w="219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05FE1" w:rsidRPr="00B1632F" w:rsidRDefault="00E40F91">
            <w:pPr>
              <w:rPr>
                <w:rFonts w:ascii="Lato" w:hAnsi="Lato"/>
                <w:sz w:val="20"/>
                <w:szCs w:val="20"/>
              </w:rPr>
            </w:pPr>
            <w:r w:rsidRPr="00B1632F">
              <w:rPr>
                <w:rFonts w:ascii="Lato" w:hAnsi="Lato"/>
                <w:color w:val="222222"/>
                <w:sz w:val="20"/>
                <w:szCs w:val="20"/>
              </w:rPr>
              <w:t>ISO 4427 / SNI 4829</w:t>
            </w:r>
          </w:p>
        </w:tc>
      </w:tr>
      <w:tr w:rsidR="0023335A" w:rsidRPr="00B1632F" w:rsidTr="0023335A">
        <w:tc>
          <w:tcPr>
            <w:tcW w:w="60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A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23335A" w:rsidRPr="00B1632F" w:rsidRDefault="0023335A" w:rsidP="0023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1632F">
              <w:rPr>
                <w:rFonts w:ascii="Lato" w:hAnsi="Lato"/>
                <w:color w:val="222222"/>
                <w:sz w:val="20"/>
                <w:szCs w:val="20"/>
              </w:rPr>
              <w:t>2</w:t>
            </w:r>
          </w:p>
        </w:tc>
        <w:tc>
          <w:tcPr>
            <w:tcW w:w="319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A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23335A" w:rsidRPr="00B1632F" w:rsidRDefault="0023335A" w:rsidP="0023335A">
            <w:pPr>
              <w:rPr>
                <w:rFonts w:ascii="Lato" w:hAnsi="Lato"/>
                <w:sz w:val="20"/>
                <w:szCs w:val="20"/>
              </w:rPr>
            </w:pPr>
            <w:r w:rsidRPr="00B1632F">
              <w:rPr>
                <w:rFonts w:ascii="Lato" w:hAnsi="Lato"/>
                <w:color w:val="222222"/>
                <w:sz w:val="20"/>
                <w:szCs w:val="20"/>
              </w:rPr>
              <w:t xml:space="preserve">Fitting &amp; </w:t>
            </w:r>
            <w:proofErr w:type="spellStart"/>
            <w:r w:rsidRPr="00B1632F">
              <w:rPr>
                <w:rFonts w:ascii="Lato" w:hAnsi="Lato"/>
                <w:color w:val="222222"/>
                <w:sz w:val="20"/>
                <w:szCs w:val="20"/>
              </w:rPr>
              <w:t>Aksesoris</w:t>
            </w:r>
            <w:proofErr w:type="spellEnd"/>
            <w:r w:rsidRPr="00B1632F">
              <w:rPr>
                <w:rFonts w:ascii="Lato" w:hAnsi="Lato"/>
                <w:color w:val="222222"/>
                <w:sz w:val="20"/>
                <w:szCs w:val="20"/>
              </w:rPr>
              <w:t xml:space="preserve"> HDPE</w:t>
            </w:r>
            <w:bookmarkStart w:id="0" w:name="_GoBack"/>
            <w:bookmarkEnd w:id="0"/>
          </w:p>
        </w:tc>
        <w:tc>
          <w:tcPr>
            <w:tcW w:w="3637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A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23335A" w:rsidRPr="00B1632F" w:rsidRDefault="0023335A" w:rsidP="0023335A">
            <w:pPr>
              <w:rPr>
                <w:rFonts w:ascii="Lato" w:hAnsi="Lato"/>
                <w:sz w:val="20"/>
                <w:szCs w:val="20"/>
              </w:rPr>
            </w:pPr>
            <w:r w:rsidRPr="00B1632F">
              <w:rPr>
                <w:rFonts w:ascii="Lato" w:hAnsi="Lato"/>
                <w:color w:val="222222"/>
                <w:sz w:val="20"/>
                <w:szCs w:val="20"/>
              </w:rPr>
              <w:t>Elbow, Tee, Reducer, End Cap, Flange Adaptor, Saddle</w:t>
            </w:r>
          </w:p>
        </w:tc>
        <w:tc>
          <w:tcPr>
            <w:tcW w:w="219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A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23335A" w:rsidRPr="00B1632F" w:rsidRDefault="0023335A" w:rsidP="0023335A">
            <w:pPr>
              <w:rPr>
                <w:rFonts w:ascii="Lato" w:hAnsi="Lato"/>
                <w:sz w:val="20"/>
                <w:szCs w:val="20"/>
              </w:rPr>
            </w:pPr>
            <w:r w:rsidRPr="00B1632F">
              <w:rPr>
                <w:rFonts w:ascii="Lato" w:hAnsi="Lato"/>
                <w:color w:val="222222"/>
                <w:sz w:val="20"/>
                <w:szCs w:val="20"/>
              </w:rPr>
              <w:t>ISO 4427 / SNI 4829</w:t>
            </w:r>
          </w:p>
        </w:tc>
      </w:tr>
      <w:tr w:rsidR="0023335A" w:rsidRPr="00B1632F" w:rsidTr="0023335A">
        <w:tc>
          <w:tcPr>
            <w:tcW w:w="60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23335A" w:rsidRPr="00B1632F" w:rsidRDefault="0023335A" w:rsidP="0023335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1632F">
              <w:rPr>
                <w:rFonts w:ascii="Lato" w:hAnsi="Lato"/>
                <w:color w:val="222222"/>
                <w:sz w:val="20"/>
                <w:szCs w:val="20"/>
              </w:rPr>
              <w:t>3</w:t>
            </w:r>
          </w:p>
        </w:tc>
        <w:tc>
          <w:tcPr>
            <w:tcW w:w="319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23335A" w:rsidRPr="00B1632F" w:rsidRDefault="0023335A" w:rsidP="0023335A">
            <w:pPr>
              <w:rPr>
                <w:rFonts w:ascii="Lato" w:hAnsi="Lato"/>
                <w:sz w:val="20"/>
                <w:szCs w:val="20"/>
              </w:rPr>
            </w:pPr>
            <w:proofErr w:type="spellStart"/>
            <w:r w:rsidRPr="00B1632F">
              <w:rPr>
                <w:rFonts w:ascii="Lato" w:hAnsi="Lato"/>
                <w:color w:val="222222"/>
                <w:sz w:val="20"/>
                <w:szCs w:val="20"/>
              </w:rPr>
              <w:t>Sambungan</w:t>
            </w:r>
            <w:proofErr w:type="spellEnd"/>
            <w:r w:rsidRPr="00B1632F">
              <w:rPr>
                <w:rFonts w:ascii="Lato" w:hAnsi="Lato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1632F">
              <w:rPr>
                <w:rFonts w:ascii="Lato" w:hAnsi="Lato"/>
                <w:color w:val="222222"/>
                <w:sz w:val="20"/>
                <w:szCs w:val="20"/>
              </w:rPr>
              <w:t>Mekanis</w:t>
            </w:r>
            <w:proofErr w:type="spellEnd"/>
            <w:r w:rsidRPr="00B1632F">
              <w:rPr>
                <w:rFonts w:ascii="Lato" w:hAnsi="Lato"/>
                <w:color w:val="222222"/>
                <w:sz w:val="20"/>
                <w:szCs w:val="20"/>
              </w:rPr>
              <w:t xml:space="preserve"> &amp; </w:t>
            </w:r>
            <w:proofErr w:type="spellStart"/>
            <w:r w:rsidRPr="00B1632F">
              <w:rPr>
                <w:rFonts w:ascii="Lato" w:hAnsi="Lato"/>
                <w:color w:val="222222"/>
                <w:sz w:val="20"/>
                <w:szCs w:val="20"/>
              </w:rPr>
              <w:t>Elektrofusi</w:t>
            </w:r>
            <w:proofErr w:type="spellEnd"/>
          </w:p>
        </w:tc>
        <w:tc>
          <w:tcPr>
            <w:tcW w:w="3637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23335A" w:rsidRPr="00B1632F" w:rsidRDefault="0023335A" w:rsidP="0023335A">
            <w:pPr>
              <w:rPr>
                <w:rFonts w:ascii="Lato" w:hAnsi="Lato"/>
                <w:sz w:val="20"/>
                <w:szCs w:val="20"/>
              </w:rPr>
            </w:pPr>
            <w:r w:rsidRPr="00B1632F">
              <w:rPr>
                <w:rFonts w:ascii="Lato" w:hAnsi="Lato"/>
                <w:color w:val="222222"/>
                <w:sz w:val="20"/>
                <w:szCs w:val="20"/>
              </w:rPr>
              <w:t>Coupling, Repair Clamp, Electrofusion Fitting</w:t>
            </w:r>
          </w:p>
        </w:tc>
        <w:tc>
          <w:tcPr>
            <w:tcW w:w="219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23335A" w:rsidRPr="00B1632F" w:rsidRDefault="0023335A" w:rsidP="0023335A">
            <w:pPr>
              <w:rPr>
                <w:rFonts w:ascii="Lato" w:hAnsi="Lato"/>
                <w:sz w:val="20"/>
                <w:szCs w:val="20"/>
              </w:rPr>
            </w:pPr>
            <w:r w:rsidRPr="00B1632F">
              <w:rPr>
                <w:rFonts w:ascii="Lato" w:hAnsi="Lato"/>
                <w:color w:val="222222"/>
                <w:sz w:val="20"/>
                <w:szCs w:val="20"/>
              </w:rPr>
              <w:t>ISO 4427 / SNI 4829</w:t>
            </w:r>
          </w:p>
        </w:tc>
      </w:tr>
      <w:tr w:rsidR="00105FE1" w:rsidRPr="00B1632F" w:rsidTr="0023335A">
        <w:tc>
          <w:tcPr>
            <w:tcW w:w="60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A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05FE1" w:rsidRPr="00B1632F" w:rsidRDefault="00E40F9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1632F">
              <w:rPr>
                <w:rFonts w:ascii="Lato" w:hAnsi="Lato"/>
                <w:color w:val="222222"/>
                <w:sz w:val="20"/>
                <w:szCs w:val="20"/>
              </w:rPr>
              <w:t>4</w:t>
            </w:r>
          </w:p>
        </w:tc>
        <w:tc>
          <w:tcPr>
            <w:tcW w:w="319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A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05FE1" w:rsidRPr="00B1632F" w:rsidRDefault="00E40F91">
            <w:pPr>
              <w:rPr>
                <w:rFonts w:ascii="Lato" w:hAnsi="Lato"/>
                <w:sz w:val="20"/>
                <w:szCs w:val="20"/>
              </w:rPr>
            </w:pPr>
            <w:proofErr w:type="spellStart"/>
            <w:r w:rsidRPr="00B1632F">
              <w:rPr>
                <w:rFonts w:ascii="Lato" w:hAnsi="Lato"/>
                <w:color w:val="222222"/>
                <w:sz w:val="20"/>
                <w:szCs w:val="20"/>
              </w:rPr>
              <w:t>Aksesori</w:t>
            </w:r>
            <w:proofErr w:type="spellEnd"/>
            <w:r w:rsidRPr="00B1632F">
              <w:rPr>
                <w:rFonts w:ascii="Lato" w:hAnsi="Lato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1632F">
              <w:rPr>
                <w:rFonts w:ascii="Lato" w:hAnsi="Lato"/>
                <w:color w:val="222222"/>
                <w:sz w:val="20"/>
                <w:szCs w:val="20"/>
              </w:rPr>
              <w:t>Perpipaan</w:t>
            </w:r>
            <w:proofErr w:type="spellEnd"/>
            <w:r w:rsidRPr="00B1632F">
              <w:rPr>
                <w:rFonts w:ascii="Lato" w:hAnsi="Lato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1632F">
              <w:rPr>
                <w:rFonts w:ascii="Lato" w:hAnsi="Lato"/>
                <w:color w:val="222222"/>
                <w:sz w:val="20"/>
                <w:szCs w:val="20"/>
              </w:rPr>
              <w:t>Lainnya</w:t>
            </w:r>
            <w:proofErr w:type="spellEnd"/>
          </w:p>
        </w:tc>
        <w:tc>
          <w:tcPr>
            <w:tcW w:w="3637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A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05FE1" w:rsidRPr="00B1632F" w:rsidRDefault="00E40F91">
            <w:pPr>
              <w:rPr>
                <w:rFonts w:ascii="Lato" w:hAnsi="Lato"/>
                <w:sz w:val="20"/>
                <w:szCs w:val="20"/>
              </w:rPr>
            </w:pPr>
            <w:r w:rsidRPr="00B1632F">
              <w:rPr>
                <w:rFonts w:ascii="Lato" w:hAnsi="Lato"/>
                <w:color w:val="222222"/>
                <w:sz w:val="20"/>
                <w:szCs w:val="20"/>
              </w:rPr>
              <w:t>Gate Valve HDPE, Air Valve, Ball Valve, Manhole Cover</w:t>
            </w:r>
          </w:p>
        </w:tc>
        <w:tc>
          <w:tcPr>
            <w:tcW w:w="219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A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105FE1" w:rsidRPr="00B1632F" w:rsidRDefault="00E40F91">
            <w:pPr>
              <w:rPr>
                <w:rFonts w:ascii="Lato" w:hAnsi="Lato"/>
                <w:sz w:val="20"/>
                <w:szCs w:val="20"/>
              </w:rPr>
            </w:pPr>
            <w:proofErr w:type="spellStart"/>
            <w:r w:rsidRPr="00B1632F">
              <w:rPr>
                <w:rFonts w:ascii="Lato" w:hAnsi="Lato"/>
                <w:color w:val="222222"/>
                <w:sz w:val="20"/>
                <w:szCs w:val="20"/>
              </w:rPr>
              <w:t>Sesuai</w:t>
            </w:r>
            <w:proofErr w:type="spellEnd"/>
            <w:r w:rsidRPr="00B1632F">
              <w:rPr>
                <w:rFonts w:ascii="Lato" w:hAnsi="Lato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1632F">
              <w:rPr>
                <w:rFonts w:ascii="Lato" w:hAnsi="Lato"/>
                <w:color w:val="222222"/>
                <w:sz w:val="20"/>
                <w:szCs w:val="20"/>
              </w:rPr>
              <w:t>Standar</w:t>
            </w:r>
            <w:proofErr w:type="spellEnd"/>
            <w:r w:rsidRPr="00B1632F">
              <w:rPr>
                <w:rFonts w:ascii="Lato" w:hAnsi="Lato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1632F">
              <w:rPr>
                <w:rFonts w:ascii="Lato" w:hAnsi="Lato"/>
                <w:color w:val="222222"/>
                <w:sz w:val="20"/>
                <w:szCs w:val="20"/>
              </w:rPr>
              <w:t>Berlaku</w:t>
            </w:r>
            <w:proofErr w:type="spellEnd"/>
          </w:p>
        </w:tc>
      </w:tr>
    </w:tbl>
    <w:p w:rsidR="00105FE1" w:rsidRPr="00B1632F" w:rsidRDefault="00105FE1">
      <w:pPr>
        <w:spacing w:before="80"/>
        <w:rPr>
          <w:rFonts w:ascii="Lato" w:hAnsi="Lato"/>
          <w:sz w:val="20"/>
          <w:szCs w:val="20"/>
        </w:rPr>
      </w:pPr>
    </w:p>
    <w:p w:rsidR="00105FE1" w:rsidRPr="00B1632F" w:rsidRDefault="00E40F91">
      <w:pPr>
        <w:pBdr>
          <w:bottom w:val="single" w:sz="8" w:space="1" w:color="2E75B6"/>
        </w:pBdr>
        <w:spacing w:before="320" w:after="120"/>
        <w:rPr>
          <w:rFonts w:ascii="Lato" w:hAnsi="Lato"/>
          <w:sz w:val="20"/>
          <w:szCs w:val="20"/>
        </w:rPr>
      </w:pPr>
      <w:r w:rsidRPr="00B1632F">
        <w:rPr>
          <w:rFonts w:ascii="Lato" w:hAnsi="Lato"/>
          <w:b/>
          <w:bCs/>
          <w:color w:val="2E75B6"/>
          <w:sz w:val="20"/>
          <w:szCs w:val="20"/>
        </w:rPr>
        <w:t>3. PERSYARATAN UMUM PEMASOK</w:t>
      </w:r>
    </w:p>
    <w:p w:rsidR="00105FE1" w:rsidRPr="00B1632F" w:rsidRDefault="00E40F91">
      <w:pPr>
        <w:spacing w:before="100" w:after="80"/>
        <w:rPr>
          <w:rFonts w:ascii="Lato" w:hAnsi="Lato"/>
          <w:sz w:val="20"/>
          <w:szCs w:val="20"/>
        </w:rPr>
      </w:pPr>
      <w:proofErr w:type="spellStart"/>
      <w:r w:rsidRPr="00B1632F">
        <w:rPr>
          <w:rFonts w:ascii="Lato" w:hAnsi="Lato"/>
          <w:color w:val="222222"/>
          <w:sz w:val="20"/>
          <w:szCs w:val="20"/>
        </w:rPr>
        <w:t>Pemasok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yang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berminat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mengikuti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proses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Pra-Kualifikasi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wajib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memenuhi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persyaratan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sebagai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berikut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>:</w:t>
      </w:r>
    </w:p>
    <w:p w:rsidR="00105FE1" w:rsidRPr="00B1632F" w:rsidRDefault="00E40F91">
      <w:pPr>
        <w:pStyle w:val="ListParagraph"/>
        <w:numPr>
          <w:ilvl w:val="0"/>
          <w:numId w:val="2"/>
        </w:numPr>
        <w:spacing w:before="60" w:after="60"/>
        <w:rPr>
          <w:rFonts w:ascii="Lato" w:hAnsi="Lato"/>
          <w:sz w:val="20"/>
          <w:szCs w:val="20"/>
        </w:rPr>
      </w:pPr>
      <w:proofErr w:type="spellStart"/>
      <w:r w:rsidRPr="00B1632F">
        <w:rPr>
          <w:rFonts w:ascii="Lato" w:hAnsi="Lato"/>
          <w:color w:val="222222"/>
          <w:sz w:val="20"/>
          <w:szCs w:val="20"/>
        </w:rPr>
        <w:t>Merupakan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badan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hukum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yang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sah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(PT, CV,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atau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Firma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) yang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terdaftar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dan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beroperasi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di Indonesia</w:t>
      </w:r>
    </w:p>
    <w:p w:rsidR="00105FE1" w:rsidRPr="00B1632F" w:rsidRDefault="00E40F91">
      <w:pPr>
        <w:pStyle w:val="ListParagraph"/>
        <w:numPr>
          <w:ilvl w:val="0"/>
          <w:numId w:val="2"/>
        </w:numPr>
        <w:spacing w:before="60" w:after="60"/>
        <w:rPr>
          <w:rFonts w:ascii="Lato" w:hAnsi="Lato"/>
          <w:sz w:val="20"/>
          <w:szCs w:val="20"/>
        </w:rPr>
      </w:pPr>
      <w:proofErr w:type="spellStart"/>
      <w:r w:rsidRPr="00B1632F">
        <w:rPr>
          <w:rFonts w:ascii="Lato" w:hAnsi="Lato"/>
          <w:color w:val="222222"/>
          <w:sz w:val="20"/>
          <w:szCs w:val="20"/>
        </w:rPr>
        <w:t>Memiliki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Nomor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Induk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Berusaha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(NIB) yang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masih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aktif</w:t>
      </w:r>
      <w:proofErr w:type="spellEnd"/>
    </w:p>
    <w:p w:rsidR="00105FE1" w:rsidRPr="00B1632F" w:rsidRDefault="00E40F91">
      <w:pPr>
        <w:pStyle w:val="ListParagraph"/>
        <w:numPr>
          <w:ilvl w:val="0"/>
          <w:numId w:val="2"/>
        </w:numPr>
        <w:spacing w:before="60" w:after="60"/>
        <w:rPr>
          <w:rFonts w:ascii="Lato" w:hAnsi="Lato"/>
          <w:sz w:val="20"/>
          <w:szCs w:val="20"/>
        </w:rPr>
      </w:pPr>
      <w:proofErr w:type="spellStart"/>
      <w:r w:rsidRPr="00B1632F">
        <w:rPr>
          <w:rFonts w:ascii="Lato" w:hAnsi="Lato"/>
          <w:color w:val="222222"/>
          <w:sz w:val="20"/>
          <w:szCs w:val="20"/>
        </w:rPr>
        <w:t>Memiliki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Surat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Izin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Usaha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Perdagangan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(SIUP) /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Izin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Usaha yang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sesuai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dengan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bidang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usaha</w:t>
      </w:r>
      <w:proofErr w:type="spellEnd"/>
    </w:p>
    <w:p w:rsidR="00105FE1" w:rsidRPr="00B1632F" w:rsidRDefault="0023335A">
      <w:pPr>
        <w:pStyle w:val="ListParagraph"/>
        <w:numPr>
          <w:ilvl w:val="0"/>
          <w:numId w:val="2"/>
        </w:numPr>
        <w:spacing w:before="60" w:after="60"/>
        <w:rPr>
          <w:rFonts w:ascii="Lato" w:hAnsi="Lato"/>
          <w:sz w:val="20"/>
          <w:szCs w:val="20"/>
        </w:rPr>
      </w:pPr>
      <w:proofErr w:type="spellStart"/>
      <w:r w:rsidRPr="00B1632F">
        <w:rPr>
          <w:rFonts w:ascii="Lato" w:hAnsi="Lato"/>
          <w:color w:val="222222"/>
          <w:sz w:val="20"/>
          <w:szCs w:val="20"/>
        </w:rPr>
        <w:t>Memiliki</w:t>
      </w:r>
      <w:proofErr w:type="spellEnd"/>
      <w:r w:rsidR="00E40F91" w:rsidRPr="00B1632F">
        <w:rPr>
          <w:rFonts w:ascii="Lato" w:hAnsi="Lato"/>
          <w:color w:val="222222"/>
          <w:sz w:val="20"/>
          <w:szCs w:val="20"/>
        </w:rPr>
        <w:t xml:space="preserve"> NPWP </w:t>
      </w:r>
      <w:r w:rsidRPr="00B1632F">
        <w:rPr>
          <w:rFonts w:ascii="Lato" w:hAnsi="Lato"/>
          <w:color w:val="222222"/>
          <w:sz w:val="20"/>
          <w:szCs w:val="20"/>
        </w:rPr>
        <w:t xml:space="preserve">yang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masih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="00E40F91" w:rsidRPr="00B1632F">
        <w:rPr>
          <w:rFonts w:ascii="Lato" w:hAnsi="Lato"/>
          <w:color w:val="222222"/>
          <w:sz w:val="20"/>
          <w:szCs w:val="20"/>
        </w:rPr>
        <w:t>aktif</w:t>
      </w:r>
      <w:proofErr w:type="spellEnd"/>
    </w:p>
    <w:p w:rsidR="00105FE1" w:rsidRPr="00B1632F" w:rsidRDefault="00E40F91">
      <w:pPr>
        <w:pStyle w:val="ListParagraph"/>
        <w:numPr>
          <w:ilvl w:val="0"/>
          <w:numId w:val="2"/>
        </w:numPr>
        <w:spacing w:before="60" w:after="60"/>
        <w:rPr>
          <w:rFonts w:ascii="Lato" w:hAnsi="Lato"/>
          <w:sz w:val="20"/>
          <w:szCs w:val="20"/>
        </w:rPr>
      </w:pPr>
      <w:proofErr w:type="spellStart"/>
      <w:r w:rsidRPr="00B1632F">
        <w:rPr>
          <w:rFonts w:ascii="Lato" w:hAnsi="Lato"/>
          <w:color w:val="222222"/>
          <w:sz w:val="20"/>
          <w:szCs w:val="20"/>
        </w:rPr>
        <w:t>Tidak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sedang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dalam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proses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pailit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,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likuidasi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,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atau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sanksi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hukum</w:t>
      </w:r>
      <w:proofErr w:type="spellEnd"/>
    </w:p>
    <w:p w:rsidR="00105FE1" w:rsidRPr="00B1632F" w:rsidRDefault="00E40F91">
      <w:pPr>
        <w:pStyle w:val="ListParagraph"/>
        <w:numPr>
          <w:ilvl w:val="0"/>
          <w:numId w:val="2"/>
        </w:numPr>
        <w:spacing w:before="60" w:after="60"/>
        <w:rPr>
          <w:rFonts w:ascii="Lato" w:hAnsi="Lato"/>
          <w:sz w:val="20"/>
          <w:szCs w:val="20"/>
        </w:rPr>
      </w:pPr>
      <w:proofErr w:type="spellStart"/>
      <w:r w:rsidRPr="00B1632F">
        <w:rPr>
          <w:rFonts w:ascii="Lato" w:hAnsi="Lato"/>
          <w:color w:val="222222"/>
          <w:sz w:val="20"/>
          <w:szCs w:val="20"/>
        </w:rPr>
        <w:t>Tidak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masuk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dalam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Daftar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Hitam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(Blacklist)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instansi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pemerintah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maupun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swasta</w:t>
      </w:r>
      <w:proofErr w:type="spellEnd"/>
    </w:p>
    <w:p w:rsidR="00105FE1" w:rsidRPr="00B1632F" w:rsidRDefault="00E40F91" w:rsidP="0023335A">
      <w:pPr>
        <w:pStyle w:val="ListParagraph"/>
        <w:numPr>
          <w:ilvl w:val="0"/>
          <w:numId w:val="2"/>
        </w:numPr>
        <w:spacing w:before="60" w:after="60"/>
        <w:jc w:val="both"/>
        <w:rPr>
          <w:rFonts w:ascii="Lato" w:hAnsi="Lato"/>
          <w:sz w:val="20"/>
          <w:szCs w:val="20"/>
        </w:rPr>
      </w:pPr>
      <w:proofErr w:type="spellStart"/>
      <w:r w:rsidRPr="00B1632F">
        <w:rPr>
          <w:rFonts w:ascii="Lato" w:hAnsi="Lato"/>
          <w:color w:val="222222"/>
          <w:sz w:val="20"/>
          <w:szCs w:val="20"/>
        </w:rPr>
        <w:t>Dapat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menyediakan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produk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yang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memenuhi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standar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SNI, ISO,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atau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standar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internasional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yang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relevan</w:t>
      </w:r>
      <w:proofErr w:type="spellEnd"/>
    </w:p>
    <w:p w:rsidR="00105FE1" w:rsidRPr="00B1632F" w:rsidRDefault="00E40F91" w:rsidP="0023335A">
      <w:pPr>
        <w:pStyle w:val="ListParagraph"/>
        <w:numPr>
          <w:ilvl w:val="0"/>
          <w:numId w:val="2"/>
        </w:numPr>
        <w:spacing w:before="60" w:after="60"/>
        <w:jc w:val="both"/>
        <w:rPr>
          <w:rFonts w:ascii="Lato" w:hAnsi="Lato"/>
          <w:sz w:val="20"/>
          <w:szCs w:val="20"/>
        </w:rPr>
      </w:pPr>
      <w:proofErr w:type="spellStart"/>
      <w:r w:rsidRPr="00B1632F">
        <w:rPr>
          <w:rFonts w:ascii="Lato" w:hAnsi="Lato"/>
          <w:color w:val="222222"/>
          <w:sz w:val="20"/>
          <w:szCs w:val="20"/>
        </w:rPr>
        <w:t>Memiliki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kapasitas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pasokan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yang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memadai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untuk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memenuhi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kebutuhan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proyek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skala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="0023335A" w:rsidRPr="00B1632F">
        <w:rPr>
          <w:rFonts w:ascii="Lato" w:hAnsi="Lato"/>
          <w:color w:val="222222"/>
          <w:sz w:val="20"/>
          <w:szCs w:val="20"/>
        </w:rPr>
        <w:t>Menengah</w:t>
      </w:r>
      <w:proofErr w:type="spellEnd"/>
      <w:r w:rsidR="0023335A"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="0023335A" w:rsidRPr="00B1632F">
        <w:rPr>
          <w:rFonts w:ascii="Lato" w:hAnsi="Lato"/>
          <w:color w:val="222222"/>
          <w:sz w:val="20"/>
          <w:szCs w:val="20"/>
        </w:rPr>
        <w:t>sampai</w:t>
      </w:r>
      <w:proofErr w:type="spellEnd"/>
      <w:r w:rsidR="0023335A"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="0023335A" w:rsidRPr="00B1632F">
        <w:rPr>
          <w:rFonts w:ascii="Lato" w:hAnsi="Lato"/>
          <w:color w:val="222222"/>
          <w:sz w:val="20"/>
          <w:szCs w:val="20"/>
        </w:rPr>
        <w:t>skala</w:t>
      </w:r>
      <w:proofErr w:type="spellEnd"/>
      <w:r w:rsidR="0023335A"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besar</w:t>
      </w:r>
      <w:proofErr w:type="spellEnd"/>
    </w:p>
    <w:p w:rsidR="00105FE1" w:rsidRPr="00B1632F" w:rsidRDefault="00E40F91">
      <w:pPr>
        <w:pStyle w:val="ListParagraph"/>
        <w:numPr>
          <w:ilvl w:val="0"/>
          <w:numId w:val="2"/>
        </w:numPr>
        <w:spacing w:before="60" w:after="60"/>
        <w:rPr>
          <w:rFonts w:ascii="Lato" w:hAnsi="Lato"/>
          <w:sz w:val="20"/>
          <w:szCs w:val="20"/>
        </w:rPr>
      </w:pPr>
      <w:proofErr w:type="spellStart"/>
      <w:r w:rsidRPr="00B1632F">
        <w:rPr>
          <w:rFonts w:ascii="Lato" w:hAnsi="Lato"/>
          <w:color w:val="222222"/>
          <w:sz w:val="20"/>
          <w:szCs w:val="20"/>
        </w:rPr>
        <w:t>Produk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yang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ditawarkan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berasal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dari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produsen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>/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pabrikan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yang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telah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tersertifikasi</w:t>
      </w:r>
      <w:proofErr w:type="spellEnd"/>
    </w:p>
    <w:p w:rsidR="00105FE1" w:rsidRPr="00B1632F" w:rsidRDefault="00E40F91">
      <w:pPr>
        <w:pStyle w:val="ListParagraph"/>
        <w:numPr>
          <w:ilvl w:val="0"/>
          <w:numId w:val="2"/>
        </w:numPr>
        <w:spacing w:before="60" w:after="60"/>
        <w:rPr>
          <w:rFonts w:ascii="Lato" w:hAnsi="Lato"/>
          <w:sz w:val="20"/>
          <w:szCs w:val="20"/>
        </w:rPr>
      </w:pPr>
      <w:proofErr w:type="spellStart"/>
      <w:r w:rsidRPr="00B1632F">
        <w:rPr>
          <w:rFonts w:ascii="Lato" w:hAnsi="Lato"/>
          <w:color w:val="222222"/>
          <w:sz w:val="20"/>
          <w:szCs w:val="20"/>
        </w:rPr>
        <w:t>Dapat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menyediakan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sertifikat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uji material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untuk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setiap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pengiriman</w:t>
      </w:r>
      <w:proofErr w:type="spellEnd"/>
    </w:p>
    <w:p w:rsidR="00105FE1" w:rsidRPr="00B1632F" w:rsidRDefault="00E40F91">
      <w:pPr>
        <w:pStyle w:val="ListParagraph"/>
        <w:numPr>
          <w:ilvl w:val="0"/>
          <w:numId w:val="2"/>
        </w:numPr>
        <w:spacing w:before="60" w:after="60"/>
        <w:rPr>
          <w:rFonts w:ascii="Lato" w:hAnsi="Lato"/>
          <w:sz w:val="20"/>
          <w:szCs w:val="20"/>
        </w:rPr>
      </w:pPr>
      <w:proofErr w:type="spellStart"/>
      <w:r w:rsidRPr="00B1632F">
        <w:rPr>
          <w:rFonts w:ascii="Lato" w:hAnsi="Lato"/>
          <w:color w:val="222222"/>
          <w:sz w:val="20"/>
          <w:szCs w:val="20"/>
        </w:rPr>
        <w:t>Bersedia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mematuhi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Kode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Etik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Pemasok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(Supplier Code of Conduct)</w:t>
      </w:r>
    </w:p>
    <w:p w:rsidR="00C666B0" w:rsidRPr="00B1632F" w:rsidRDefault="00C666B0">
      <w:pPr>
        <w:pStyle w:val="ListParagraph"/>
        <w:numPr>
          <w:ilvl w:val="0"/>
          <w:numId w:val="2"/>
        </w:numPr>
        <w:spacing w:before="60" w:after="60"/>
        <w:rPr>
          <w:rFonts w:ascii="Lato" w:hAnsi="Lato"/>
          <w:sz w:val="20"/>
          <w:szCs w:val="20"/>
        </w:rPr>
      </w:pPr>
      <w:proofErr w:type="spellStart"/>
      <w:r w:rsidRPr="00B1632F">
        <w:rPr>
          <w:rFonts w:ascii="Lato" w:hAnsi="Lato"/>
          <w:sz w:val="20"/>
          <w:szCs w:val="20"/>
        </w:rPr>
        <w:t>Bersedia</w:t>
      </w:r>
      <w:proofErr w:type="spellEnd"/>
      <w:r w:rsidRPr="00B1632F">
        <w:rPr>
          <w:rFonts w:ascii="Lato" w:hAnsi="Lato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sz w:val="20"/>
          <w:szCs w:val="20"/>
        </w:rPr>
        <w:t>mematuhi</w:t>
      </w:r>
      <w:proofErr w:type="spellEnd"/>
      <w:r w:rsidRPr="00B1632F">
        <w:rPr>
          <w:rFonts w:ascii="Lato" w:hAnsi="Lato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sz w:val="20"/>
          <w:szCs w:val="20"/>
        </w:rPr>
        <w:t>Kebijakan</w:t>
      </w:r>
      <w:proofErr w:type="spellEnd"/>
      <w:r w:rsidRPr="00B1632F">
        <w:rPr>
          <w:rFonts w:ascii="Lato" w:hAnsi="Lato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sz w:val="20"/>
          <w:szCs w:val="20"/>
        </w:rPr>
        <w:t>Perlindungan</w:t>
      </w:r>
      <w:proofErr w:type="spellEnd"/>
      <w:r w:rsidRPr="00B1632F">
        <w:rPr>
          <w:rFonts w:ascii="Lato" w:hAnsi="Lato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sz w:val="20"/>
          <w:szCs w:val="20"/>
        </w:rPr>
        <w:t>anak</w:t>
      </w:r>
      <w:proofErr w:type="spellEnd"/>
      <w:r w:rsidRPr="00B1632F">
        <w:rPr>
          <w:rFonts w:ascii="Lato" w:hAnsi="Lato"/>
          <w:sz w:val="20"/>
          <w:szCs w:val="20"/>
        </w:rPr>
        <w:t xml:space="preserve"> &amp; </w:t>
      </w:r>
      <w:proofErr w:type="spellStart"/>
      <w:r w:rsidRPr="00B1632F">
        <w:rPr>
          <w:rFonts w:ascii="Lato" w:hAnsi="Lato"/>
          <w:sz w:val="20"/>
          <w:szCs w:val="20"/>
        </w:rPr>
        <w:t>penerima</w:t>
      </w:r>
      <w:proofErr w:type="spellEnd"/>
      <w:r w:rsidRPr="00B1632F">
        <w:rPr>
          <w:rFonts w:ascii="Lato" w:hAnsi="Lato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sz w:val="20"/>
          <w:szCs w:val="20"/>
        </w:rPr>
        <w:t>manfaat</w:t>
      </w:r>
      <w:proofErr w:type="spellEnd"/>
      <w:r w:rsidRPr="00B1632F">
        <w:rPr>
          <w:rFonts w:ascii="Lato" w:hAnsi="Lato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sz w:val="20"/>
          <w:szCs w:val="20"/>
        </w:rPr>
        <w:t>dewasa</w:t>
      </w:r>
      <w:proofErr w:type="spellEnd"/>
      <w:r w:rsidRPr="00B1632F">
        <w:rPr>
          <w:rFonts w:ascii="Lato" w:hAnsi="Lato"/>
          <w:sz w:val="20"/>
          <w:szCs w:val="20"/>
        </w:rPr>
        <w:t xml:space="preserve"> (Safeguarding)</w:t>
      </w:r>
    </w:p>
    <w:p w:rsidR="00105FE1" w:rsidRPr="00B1632F" w:rsidRDefault="00E40F91">
      <w:pPr>
        <w:pBdr>
          <w:bottom w:val="single" w:sz="8" w:space="1" w:color="2E75B6"/>
        </w:pBdr>
        <w:spacing w:before="320" w:after="120"/>
        <w:rPr>
          <w:rFonts w:ascii="Lato" w:hAnsi="Lato"/>
          <w:sz w:val="20"/>
          <w:szCs w:val="20"/>
        </w:rPr>
      </w:pPr>
      <w:r w:rsidRPr="00B1632F">
        <w:rPr>
          <w:rFonts w:ascii="Lato" w:hAnsi="Lato"/>
          <w:b/>
          <w:bCs/>
          <w:color w:val="2E75B6"/>
          <w:sz w:val="20"/>
          <w:szCs w:val="20"/>
        </w:rPr>
        <w:t>4. TATA CARA PENDAFTARAN &amp; PENYERAHAN DOKUMEN</w:t>
      </w:r>
    </w:p>
    <w:p w:rsidR="00105FE1" w:rsidRPr="00B1632F" w:rsidRDefault="00E40F91">
      <w:pPr>
        <w:pStyle w:val="ListParagraph"/>
        <w:numPr>
          <w:ilvl w:val="0"/>
          <w:numId w:val="3"/>
        </w:numPr>
        <w:spacing w:before="60" w:after="60"/>
        <w:rPr>
          <w:rFonts w:ascii="Lato" w:hAnsi="Lato"/>
          <w:sz w:val="20"/>
          <w:szCs w:val="20"/>
        </w:rPr>
      </w:pPr>
      <w:proofErr w:type="spellStart"/>
      <w:r w:rsidRPr="00B1632F">
        <w:rPr>
          <w:rFonts w:ascii="Lato" w:hAnsi="Lato"/>
          <w:color w:val="222222"/>
          <w:sz w:val="20"/>
          <w:szCs w:val="20"/>
        </w:rPr>
        <w:t>Pemasok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yang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berminat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dapat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="00C666B0" w:rsidRPr="00B1632F">
        <w:rPr>
          <w:rFonts w:ascii="Lato" w:hAnsi="Lato"/>
          <w:color w:val="222222"/>
          <w:sz w:val="20"/>
          <w:szCs w:val="20"/>
        </w:rPr>
        <w:t>mengirimkan</w:t>
      </w:r>
      <w:proofErr w:type="spellEnd"/>
      <w:r w:rsidR="00C666B0"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="00C666B0" w:rsidRPr="00B1632F">
        <w:rPr>
          <w:rFonts w:ascii="Lato" w:hAnsi="Lato"/>
          <w:color w:val="222222"/>
          <w:sz w:val="20"/>
          <w:szCs w:val="20"/>
        </w:rPr>
        <w:t>dokumen</w:t>
      </w:r>
      <w:proofErr w:type="spellEnd"/>
      <w:r w:rsidR="00C666B0" w:rsidRPr="00B1632F">
        <w:rPr>
          <w:rFonts w:ascii="Lato" w:hAnsi="Lato"/>
          <w:color w:val="222222"/>
          <w:sz w:val="20"/>
          <w:szCs w:val="20"/>
        </w:rPr>
        <w:t xml:space="preserve"> (Form A </w:t>
      </w:r>
      <w:proofErr w:type="spellStart"/>
      <w:r w:rsidR="00C666B0" w:rsidRPr="00B1632F">
        <w:rPr>
          <w:rFonts w:ascii="Lato" w:hAnsi="Lato"/>
          <w:color w:val="222222"/>
          <w:sz w:val="20"/>
          <w:szCs w:val="20"/>
        </w:rPr>
        <w:t>Documen</w:t>
      </w:r>
      <w:proofErr w:type="spellEnd"/>
      <w:r w:rsidR="00C666B0" w:rsidRPr="00B1632F">
        <w:rPr>
          <w:rFonts w:ascii="Lato" w:hAnsi="Lato"/>
          <w:color w:val="222222"/>
          <w:sz w:val="20"/>
          <w:szCs w:val="20"/>
        </w:rPr>
        <w:t xml:space="preserve"> Procurement</w:t>
      </w:r>
      <w:r w:rsidR="00475CD2" w:rsidRPr="00B1632F">
        <w:rPr>
          <w:rFonts w:ascii="Lato" w:hAnsi="Lato"/>
          <w:color w:val="222222"/>
          <w:sz w:val="20"/>
          <w:szCs w:val="20"/>
        </w:rPr>
        <w:t xml:space="preserve">, NIB, </w:t>
      </w:r>
      <w:proofErr w:type="spellStart"/>
      <w:proofErr w:type="gramStart"/>
      <w:r w:rsidR="00475CD2" w:rsidRPr="00B1632F">
        <w:rPr>
          <w:rFonts w:ascii="Lato" w:hAnsi="Lato"/>
          <w:color w:val="222222"/>
          <w:sz w:val="20"/>
          <w:szCs w:val="20"/>
        </w:rPr>
        <w:t>NPWP,Sertifikat</w:t>
      </w:r>
      <w:proofErr w:type="spellEnd"/>
      <w:proofErr w:type="gramEnd"/>
      <w:r w:rsidR="00475CD2" w:rsidRPr="00B1632F">
        <w:rPr>
          <w:rFonts w:ascii="Lato" w:hAnsi="Lato"/>
          <w:color w:val="222222"/>
          <w:sz w:val="20"/>
          <w:szCs w:val="20"/>
        </w:rPr>
        <w:t xml:space="preserve"> ISO </w:t>
      </w:r>
      <w:proofErr w:type="spellStart"/>
      <w:r w:rsidR="00475CD2" w:rsidRPr="00B1632F">
        <w:rPr>
          <w:rFonts w:ascii="Lato" w:hAnsi="Lato"/>
          <w:color w:val="222222"/>
          <w:sz w:val="20"/>
          <w:szCs w:val="20"/>
        </w:rPr>
        <w:t>jika</w:t>
      </w:r>
      <w:proofErr w:type="spellEnd"/>
      <w:r w:rsidR="00475CD2"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="00475CD2" w:rsidRPr="00B1632F">
        <w:rPr>
          <w:rFonts w:ascii="Lato" w:hAnsi="Lato"/>
          <w:color w:val="222222"/>
          <w:sz w:val="20"/>
          <w:szCs w:val="20"/>
        </w:rPr>
        <w:t>ada</w:t>
      </w:r>
      <w:proofErr w:type="spellEnd"/>
      <w:r w:rsidR="00475CD2" w:rsidRPr="00B1632F">
        <w:rPr>
          <w:rFonts w:ascii="Lato" w:hAnsi="Lato"/>
          <w:color w:val="222222"/>
          <w:sz w:val="20"/>
          <w:szCs w:val="20"/>
        </w:rPr>
        <w:t xml:space="preserve">, </w:t>
      </w:r>
      <w:proofErr w:type="spellStart"/>
      <w:r w:rsidR="00475CD2" w:rsidRPr="00B1632F">
        <w:rPr>
          <w:rFonts w:ascii="Lato" w:hAnsi="Lato"/>
          <w:color w:val="222222"/>
          <w:sz w:val="20"/>
          <w:szCs w:val="20"/>
        </w:rPr>
        <w:t>Katalog</w:t>
      </w:r>
      <w:proofErr w:type="spellEnd"/>
      <w:r w:rsidR="00475CD2"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="00475CD2" w:rsidRPr="00B1632F">
        <w:rPr>
          <w:rFonts w:ascii="Lato" w:hAnsi="Lato"/>
          <w:color w:val="222222"/>
          <w:sz w:val="20"/>
          <w:szCs w:val="20"/>
        </w:rPr>
        <w:t>Produk</w:t>
      </w:r>
      <w:proofErr w:type="spellEnd"/>
      <w:r w:rsidR="00475CD2" w:rsidRPr="00B1632F">
        <w:rPr>
          <w:rFonts w:ascii="Lato" w:hAnsi="Lato"/>
          <w:color w:val="222222"/>
          <w:sz w:val="20"/>
          <w:szCs w:val="20"/>
        </w:rPr>
        <w:t>)</w:t>
      </w:r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melalui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email </w:t>
      </w:r>
      <w:hyperlink r:id="rId7" w:history="1">
        <w:r w:rsidR="00C666B0" w:rsidRPr="00B1632F">
          <w:rPr>
            <w:rStyle w:val="Hyperlink"/>
            <w:rFonts w:ascii="Lato" w:hAnsi="Lato"/>
            <w:sz w:val="20"/>
            <w:szCs w:val="20"/>
          </w:rPr>
          <w:t>Indonesia_procurement_ntt@wvi.org</w:t>
        </w:r>
      </w:hyperlink>
    </w:p>
    <w:p w:rsidR="00105FE1" w:rsidRPr="00B1632F" w:rsidRDefault="00E40F91">
      <w:pPr>
        <w:pStyle w:val="ListParagraph"/>
        <w:numPr>
          <w:ilvl w:val="0"/>
          <w:numId w:val="3"/>
        </w:numPr>
        <w:spacing w:before="60" w:after="60"/>
        <w:rPr>
          <w:rFonts w:ascii="Lato" w:hAnsi="Lato"/>
          <w:sz w:val="20"/>
          <w:szCs w:val="20"/>
        </w:rPr>
      </w:pPr>
      <w:proofErr w:type="spellStart"/>
      <w:r w:rsidRPr="00B1632F">
        <w:rPr>
          <w:rFonts w:ascii="Lato" w:hAnsi="Lato"/>
          <w:color w:val="222222"/>
          <w:sz w:val="20"/>
          <w:szCs w:val="20"/>
        </w:rPr>
        <w:lastRenderedPageBreak/>
        <w:t>Pendaftaran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dilakukan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paling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lambat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pada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tanggal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r w:rsidR="00C666B0" w:rsidRPr="00B1632F">
        <w:rPr>
          <w:rFonts w:ascii="Lato" w:hAnsi="Lato"/>
          <w:color w:val="222222"/>
          <w:sz w:val="20"/>
          <w:szCs w:val="20"/>
        </w:rPr>
        <w:t xml:space="preserve">30 </w:t>
      </w:r>
      <w:proofErr w:type="spellStart"/>
      <w:r w:rsidR="00C666B0" w:rsidRPr="00B1632F">
        <w:rPr>
          <w:rFonts w:ascii="Lato" w:hAnsi="Lato"/>
          <w:color w:val="222222"/>
          <w:sz w:val="20"/>
          <w:szCs w:val="20"/>
        </w:rPr>
        <w:t>Juni</w:t>
      </w:r>
      <w:proofErr w:type="spellEnd"/>
      <w:r w:rsidR="00C666B0" w:rsidRPr="00B1632F">
        <w:rPr>
          <w:rFonts w:ascii="Lato" w:hAnsi="Lato"/>
          <w:color w:val="222222"/>
          <w:sz w:val="20"/>
          <w:szCs w:val="20"/>
        </w:rPr>
        <w:t xml:space="preserve"> 2026</w:t>
      </w:r>
      <w:r w:rsidRPr="00B1632F">
        <w:rPr>
          <w:rFonts w:ascii="Lato" w:hAnsi="Lato"/>
          <w:color w:val="222222"/>
          <w:sz w:val="20"/>
          <w:szCs w:val="20"/>
        </w:rPr>
        <w:t>.</w:t>
      </w:r>
    </w:p>
    <w:p w:rsidR="00105FE1" w:rsidRPr="00B1632F" w:rsidRDefault="00105FE1">
      <w:pPr>
        <w:spacing w:before="80"/>
        <w:rPr>
          <w:rFonts w:ascii="Lato" w:hAnsi="Lato"/>
          <w:sz w:val="20"/>
          <w:szCs w:val="20"/>
        </w:rPr>
      </w:pPr>
    </w:p>
    <w:p w:rsidR="00105FE1" w:rsidRPr="00B1632F" w:rsidRDefault="002B5761">
      <w:pPr>
        <w:pBdr>
          <w:bottom w:val="single" w:sz="8" w:space="1" w:color="2E75B6"/>
        </w:pBdr>
        <w:spacing w:before="320" w:after="120"/>
        <w:rPr>
          <w:rFonts w:ascii="Lato" w:hAnsi="Lato"/>
          <w:sz w:val="20"/>
          <w:szCs w:val="20"/>
        </w:rPr>
      </w:pPr>
      <w:r w:rsidRPr="00B1632F">
        <w:rPr>
          <w:rFonts w:ascii="Lato" w:hAnsi="Lato"/>
          <w:b/>
          <w:bCs/>
          <w:color w:val="2E75B6"/>
          <w:sz w:val="20"/>
          <w:szCs w:val="20"/>
        </w:rPr>
        <w:t>5</w:t>
      </w:r>
      <w:r w:rsidR="00E40F91" w:rsidRPr="00B1632F">
        <w:rPr>
          <w:rFonts w:ascii="Lato" w:hAnsi="Lato"/>
          <w:b/>
          <w:bCs/>
          <w:color w:val="2E75B6"/>
          <w:sz w:val="20"/>
          <w:szCs w:val="20"/>
        </w:rPr>
        <w:t>. KETENTUAN LAIN-LAIN</w:t>
      </w:r>
    </w:p>
    <w:p w:rsidR="00105FE1" w:rsidRPr="00B1632F" w:rsidRDefault="00E40F91">
      <w:pPr>
        <w:pStyle w:val="ListParagraph"/>
        <w:numPr>
          <w:ilvl w:val="0"/>
          <w:numId w:val="2"/>
        </w:numPr>
        <w:spacing w:before="60" w:after="60"/>
        <w:rPr>
          <w:rFonts w:ascii="Lato" w:hAnsi="Lato"/>
          <w:sz w:val="20"/>
          <w:szCs w:val="20"/>
        </w:rPr>
      </w:pPr>
      <w:r w:rsidRPr="00B1632F">
        <w:rPr>
          <w:rFonts w:ascii="Lato" w:hAnsi="Lato"/>
          <w:color w:val="222222"/>
          <w:sz w:val="20"/>
          <w:szCs w:val="20"/>
        </w:rPr>
        <w:t xml:space="preserve">Proses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Pra-Kualifikasi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ini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tidak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mengikat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Perusahaan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untuk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melanjutkan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ke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tahap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pengadaan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berikutnya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>.</w:t>
      </w:r>
    </w:p>
    <w:p w:rsidR="00105FE1" w:rsidRPr="00B1632F" w:rsidRDefault="00E40F91">
      <w:pPr>
        <w:pStyle w:val="ListParagraph"/>
        <w:numPr>
          <w:ilvl w:val="0"/>
          <w:numId w:val="2"/>
        </w:numPr>
        <w:spacing w:before="60" w:after="60"/>
        <w:rPr>
          <w:rFonts w:ascii="Lato" w:hAnsi="Lato"/>
          <w:sz w:val="20"/>
          <w:szCs w:val="20"/>
        </w:rPr>
      </w:pPr>
      <w:r w:rsidRPr="00B1632F">
        <w:rPr>
          <w:rFonts w:ascii="Lato" w:hAnsi="Lato"/>
          <w:color w:val="222222"/>
          <w:sz w:val="20"/>
          <w:szCs w:val="20"/>
        </w:rPr>
        <w:t xml:space="preserve">Perusahaan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berhak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membatalkan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,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menunda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,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atau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mengubah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ketentuan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PQ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ini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sewaktu-waktu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tanpa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pemberitahuan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sebelumnya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>.</w:t>
      </w:r>
    </w:p>
    <w:p w:rsidR="00105FE1" w:rsidRPr="00B1632F" w:rsidRDefault="00E40F91">
      <w:pPr>
        <w:pStyle w:val="ListParagraph"/>
        <w:numPr>
          <w:ilvl w:val="0"/>
          <w:numId w:val="2"/>
        </w:numPr>
        <w:spacing w:before="60" w:after="60"/>
        <w:rPr>
          <w:rFonts w:ascii="Lato" w:hAnsi="Lato"/>
          <w:sz w:val="20"/>
          <w:szCs w:val="20"/>
        </w:rPr>
      </w:pPr>
      <w:proofErr w:type="spellStart"/>
      <w:r w:rsidRPr="00B1632F">
        <w:rPr>
          <w:rFonts w:ascii="Lato" w:hAnsi="Lato"/>
          <w:color w:val="222222"/>
          <w:sz w:val="20"/>
          <w:szCs w:val="20"/>
        </w:rPr>
        <w:t>Seluruh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biaya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yang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timbul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dalam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penyiapan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dan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penyerahan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dokumen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PQ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sepenuhnya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menjadi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tanggungan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Pemasok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>.</w:t>
      </w:r>
    </w:p>
    <w:p w:rsidR="00105FE1" w:rsidRPr="00B1632F" w:rsidRDefault="00E40F91">
      <w:pPr>
        <w:pStyle w:val="ListParagraph"/>
        <w:numPr>
          <w:ilvl w:val="0"/>
          <w:numId w:val="2"/>
        </w:numPr>
        <w:spacing w:before="60" w:after="60"/>
        <w:rPr>
          <w:rFonts w:ascii="Lato" w:hAnsi="Lato"/>
          <w:sz w:val="20"/>
          <w:szCs w:val="20"/>
        </w:rPr>
      </w:pPr>
      <w:proofErr w:type="spellStart"/>
      <w:r w:rsidRPr="00B1632F">
        <w:rPr>
          <w:rFonts w:ascii="Lato" w:hAnsi="Lato"/>
          <w:color w:val="222222"/>
          <w:sz w:val="20"/>
          <w:szCs w:val="20"/>
        </w:rPr>
        <w:t>Dokumen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dan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informasi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yang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disampaikan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dalam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proses PQ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ini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bersifat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rahasia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dan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tidak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akan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disebarluaskan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kepada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pihak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ketiga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>.</w:t>
      </w:r>
    </w:p>
    <w:p w:rsidR="00105FE1" w:rsidRPr="00B1632F" w:rsidRDefault="00E40F91">
      <w:pPr>
        <w:pStyle w:val="ListParagraph"/>
        <w:numPr>
          <w:ilvl w:val="0"/>
          <w:numId w:val="2"/>
        </w:numPr>
        <w:spacing w:before="60" w:after="60"/>
        <w:rPr>
          <w:rFonts w:ascii="Lato" w:hAnsi="Lato"/>
          <w:sz w:val="20"/>
          <w:szCs w:val="20"/>
        </w:rPr>
      </w:pPr>
      <w:r w:rsidRPr="00B1632F">
        <w:rPr>
          <w:rFonts w:ascii="Lato" w:hAnsi="Lato"/>
          <w:color w:val="222222"/>
          <w:sz w:val="20"/>
          <w:szCs w:val="20"/>
        </w:rPr>
        <w:t xml:space="preserve">Perusahaan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tidak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menerima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bentuk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gratifikasi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,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hadiah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,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atau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pemberian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dalam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bentuk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apapun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dari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Pemasok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>.</w:t>
      </w:r>
    </w:p>
    <w:p w:rsidR="00105FE1" w:rsidRPr="00B1632F" w:rsidRDefault="00E40F91">
      <w:pPr>
        <w:pStyle w:val="ListParagraph"/>
        <w:numPr>
          <w:ilvl w:val="0"/>
          <w:numId w:val="2"/>
        </w:numPr>
        <w:spacing w:before="60" w:after="60"/>
        <w:rPr>
          <w:rFonts w:ascii="Lato" w:hAnsi="Lato"/>
          <w:sz w:val="20"/>
          <w:szCs w:val="20"/>
        </w:rPr>
      </w:pPr>
      <w:r w:rsidRPr="00B1632F">
        <w:rPr>
          <w:rFonts w:ascii="Lato" w:hAnsi="Lato"/>
          <w:color w:val="222222"/>
          <w:sz w:val="20"/>
          <w:szCs w:val="20"/>
        </w:rPr>
        <w:t xml:space="preserve">Keputusan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Panitia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PQ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bersifat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final dan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tidak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dapat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diganggu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gugat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>.</w:t>
      </w:r>
    </w:p>
    <w:p w:rsidR="00105FE1" w:rsidRPr="00B1632F" w:rsidRDefault="00105FE1">
      <w:pPr>
        <w:spacing w:before="300" w:after="80"/>
        <w:rPr>
          <w:rFonts w:ascii="Lato" w:hAnsi="Lato"/>
          <w:sz w:val="20"/>
          <w:szCs w:val="20"/>
        </w:rPr>
      </w:pPr>
    </w:p>
    <w:p w:rsidR="00E40F91" w:rsidRPr="00B1632F" w:rsidRDefault="00E40F91" w:rsidP="002B5761">
      <w:pPr>
        <w:spacing w:before="80" w:after="160"/>
        <w:rPr>
          <w:rFonts w:ascii="Lato" w:hAnsi="Lato"/>
          <w:sz w:val="20"/>
          <w:szCs w:val="20"/>
        </w:rPr>
      </w:pPr>
      <w:proofErr w:type="spellStart"/>
      <w:r w:rsidRPr="00B1632F">
        <w:rPr>
          <w:rFonts w:ascii="Lato" w:hAnsi="Lato"/>
          <w:color w:val="222222"/>
          <w:sz w:val="20"/>
          <w:szCs w:val="20"/>
        </w:rPr>
        <w:t>Demikian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Pengumuman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Pra-Kualifikasi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ini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disampaikan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.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Atas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perhatian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dan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partisipasi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Bapak/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Ibu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, kami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mengucapkan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terima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 xml:space="preserve"> </w:t>
      </w:r>
      <w:proofErr w:type="spellStart"/>
      <w:r w:rsidRPr="00B1632F">
        <w:rPr>
          <w:rFonts w:ascii="Lato" w:hAnsi="Lato"/>
          <w:color w:val="222222"/>
          <w:sz w:val="20"/>
          <w:szCs w:val="20"/>
        </w:rPr>
        <w:t>kasih</w:t>
      </w:r>
      <w:proofErr w:type="spellEnd"/>
      <w:r w:rsidRPr="00B1632F">
        <w:rPr>
          <w:rFonts w:ascii="Lato" w:hAnsi="Lato"/>
          <w:color w:val="222222"/>
          <w:sz w:val="20"/>
          <w:szCs w:val="20"/>
        </w:rPr>
        <w:t>.</w:t>
      </w:r>
      <w:r w:rsidR="002B5761" w:rsidRPr="00B1632F">
        <w:rPr>
          <w:rFonts w:ascii="Lato" w:hAnsi="Lato"/>
          <w:sz w:val="20"/>
          <w:szCs w:val="20"/>
        </w:rPr>
        <w:t xml:space="preserve"> </w:t>
      </w:r>
    </w:p>
    <w:sectPr w:rsidR="00E40F91" w:rsidRPr="00B1632F">
      <w:footerReference w:type="default" r:id="rId8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484" w:rsidRDefault="00521484">
      <w:r>
        <w:separator/>
      </w:r>
    </w:p>
  </w:endnote>
  <w:endnote w:type="continuationSeparator" w:id="0">
    <w:p w:rsidR="00521484" w:rsidRDefault="00521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FE1" w:rsidRDefault="00105FE1">
    <w:pPr>
      <w:pBdr>
        <w:top w:val="single" w:sz="6" w:space="4" w:color="2E75B6"/>
      </w:pBdr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484" w:rsidRDefault="00521484">
      <w:r>
        <w:separator/>
      </w:r>
    </w:p>
  </w:footnote>
  <w:footnote w:type="continuationSeparator" w:id="0">
    <w:p w:rsidR="00521484" w:rsidRDefault="00521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C9703C"/>
    <w:multiLevelType w:val="hybridMultilevel"/>
    <w:tmpl w:val="DA047D90"/>
    <w:lvl w:ilvl="0" w:tplc="6602F0D0">
      <w:start w:val="1"/>
      <w:numFmt w:val="bullet"/>
      <w:lvlText w:val="•"/>
      <w:lvlJc w:val="left"/>
      <w:pPr>
        <w:ind w:left="720" w:hanging="360"/>
      </w:pPr>
    </w:lvl>
    <w:lvl w:ilvl="1" w:tplc="24089924">
      <w:start w:val="1"/>
      <w:numFmt w:val="bullet"/>
      <w:lvlText w:val="◦"/>
      <w:lvlJc w:val="left"/>
      <w:pPr>
        <w:ind w:left="1080" w:hanging="360"/>
      </w:pPr>
    </w:lvl>
    <w:lvl w:ilvl="2" w:tplc="8CD8E146">
      <w:numFmt w:val="decimal"/>
      <w:lvlText w:val=""/>
      <w:lvlJc w:val="left"/>
    </w:lvl>
    <w:lvl w:ilvl="3" w:tplc="B7442030">
      <w:numFmt w:val="decimal"/>
      <w:lvlText w:val=""/>
      <w:lvlJc w:val="left"/>
    </w:lvl>
    <w:lvl w:ilvl="4" w:tplc="3B34B358">
      <w:numFmt w:val="decimal"/>
      <w:lvlText w:val=""/>
      <w:lvlJc w:val="left"/>
    </w:lvl>
    <w:lvl w:ilvl="5" w:tplc="CA547836">
      <w:numFmt w:val="decimal"/>
      <w:lvlText w:val=""/>
      <w:lvlJc w:val="left"/>
    </w:lvl>
    <w:lvl w:ilvl="6" w:tplc="15C21BEC">
      <w:numFmt w:val="decimal"/>
      <w:lvlText w:val=""/>
      <w:lvlJc w:val="left"/>
    </w:lvl>
    <w:lvl w:ilvl="7" w:tplc="AC7CB1F2">
      <w:numFmt w:val="decimal"/>
      <w:lvlText w:val=""/>
      <w:lvlJc w:val="left"/>
    </w:lvl>
    <w:lvl w:ilvl="8" w:tplc="43DE1A7E">
      <w:numFmt w:val="decimal"/>
      <w:lvlText w:val=""/>
      <w:lvlJc w:val="left"/>
    </w:lvl>
  </w:abstractNum>
  <w:abstractNum w:abstractNumId="1" w15:restartNumberingAfterBreak="0">
    <w:nsid w:val="4A834576"/>
    <w:multiLevelType w:val="hybridMultilevel"/>
    <w:tmpl w:val="EC3AFF0E"/>
    <w:lvl w:ilvl="0" w:tplc="68701534">
      <w:start w:val="1"/>
      <w:numFmt w:val="bullet"/>
      <w:lvlText w:val="●"/>
      <w:lvlJc w:val="left"/>
      <w:pPr>
        <w:ind w:left="720" w:hanging="360"/>
      </w:pPr>
    </w:lvl>
    <w:lvl w:ilvl="1" w:tplc="B01CA378">
      <w:start w:val="1"/>
      <w:numFmt w:val="bullet"/>
      <w:lvlText w:val="○"/>
      <w:lvlJc w:val="left"/>
      <w:pPr>
        <w:ind w:left="1440" w:hanging="360"/>
      </w:pPr>
    </w:lvl>
    <w:lvl w:ilvl="2" w:tplc="C2A83424">
      <w:start w:val="1"/>
      <w:numFmt w:val="bullet"/>
      <w:lvlText w:val="■"/>
      <w:lvlJc w:val="left"/>
      <w:pPr>
        <w:ind w:left="2160" w:hanging="360"/>
      </w:pPr>
    </w:lvl>
    <w:lvl w:ilvl="3" w:tplc="B474494E">
      <w:start w:val="1"/>
      <w:numFmt w:val="bullet"/>
      <w:lvlText w:val="●"/>
      <w:lvlJc w:val="left"/>
      <w:pPr>
        <w:ind w:left="2880" w:hanging="360"/>
      </w:pPr>
    </w:lvl>
    <w:lvl w:ilvl="4" w:tplc="B3B6F7C2">
      <w:start w:val="1"/>
      <w:numFmt w:val="bullet"/>
      <w:lvlText w:val="○"/>
      <w:lvlJc w:val="left"/>
      <w:pPr>
        <w:ind w:left="3600" w:hanging="360"/>
      </w:pPr>
    </w:lvl>
    <w:lvl w:ilvl="5" w:tplc="5E60DD84">
      <w:start w:val="1"/>
      <w:numFmt w:val="bullet"/>
      <w:lvlText w:val="■"/>
      <w:lvlJc w:val="left"/>
      <w:pPr>
        <w:ind w:left="4320" w:hanging="360"/>
      </w:pPr>
    </w:lvl>
    <w:lvl w:ilvl="6" w:tplc="BCB86582">
      <w:start w:val="1"/>
      <w:numFmt w:val="bullet"/>
      <w:lvlText w:val="●"/>
      <w:lvlJc w:val="left"/>
      <w:pPr>
        <w:ind w:left="5040" w:hanging="360"/>
      </w:pPr>
    </w:lvl>
    <w:lvl w:ilvl="7" w:tplc="BF328EF0">
      <w:start w:val="1"/>
      <w:numFmt w:val="bullet"/>
      <w:lvlText w:val="●"/>
      <w:lvlJc w:val="left"/>
      <w:pPr>
        <w:ind w:left="5760" w:hanging="360"/>
      </w:pPr>
    </w:lvl>
    <w:lvl w:ilvl="8" w:tplc="1AB2A92C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6A272CB0"/>
    <w:multiLevelType w:val="hybridMultilevel"/>
    <w:tmpl w:val="0F56C442"/>
    <w:lvl w:ilvl="0" w:tplc="9942E68C">
      <w:start w:val="1"/>
      <w:numFmt w:val="decimal"/>
      <w:lvlText w:val="%1."/>
      <w:lvlJc w:val="left"/>
      <w:pPr>
        <w:ind w:left="720" w:hanging="360"/>
      </w:pPr>
    </w:lvl>
    <w:lvl w:ilvl="1" w:tplc="310ACDE6">
      <w:start w:val="1"/>
      <w:numFmt w:val="lowerLetter"/>
      <w:lvlText w:val="%2."/>
      <w:lvlJc w:val="left"/>
      <w:pPr>
        <w:ind w:left="1080" w:hanging="360"/>
      </w:pPr>
    </w:lvl>
    <w:lvl w:ilvl="2" w:tplc="78469664">
      <w:numFmt w:val="decimal"/>
      <w:lvlText w:val=""/>
      <w:lvlJc w:val="left"/>
    </w:lvl>
    <w:lvl w:ilvl="3" w:tplc="03567DE0">
      <w:numFmt w:val="decimal"/>
      <w:lvlText w:val=""/>
      <w:lvlJc w:val="left"/>
    </w:lvl>
    <w:lvl w:ilvl="4" w:tplc="7BC47586">
      <w:numFmt w:val="decimal"/>
      <w:lvlText w:val=""/>
      <w:lvlJc w:val="left"/>
    </w:lvl>
    <w:lvl w:ilvl="5" w:tplc="2FCAB25A">
      <w:numFmt w:val="decimal"/>
      <w:lvlText w:val=""/>
      <w:lvlJc w:val="left"/>
    </w:lvl>
    <w:lvl w:ilvl="6" w:tplc="C396CB2E">
      <w:numFmt w:val="decimal"/>
      <w:lvlText w:val=""/>
      <w:lvlJc w:val="left"/>
    </w:lvl>
    <w:lvl w:ilvl="7" w:tplc="208C0F30">
      <w:numFmt w:val="decimal"/>
      <w:lvlText w:val=""/>
      <w:lvlJc w:val="left"/>
    </w:lvl>
    <w:lvl w:ilvl="8" w:tplc="04D81A7C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FE1"/>
    <w:rsid w:val="00105FE1"/>
    <w:rsid w:val="0023335A"/>
    <w:rsid w:val="002B5761"/>
    <w:rsid w:val="003A547F"/>
    <w:rsid w:val="00475CD2"/>
    <w:rsid w:val="00521484"/>
    <w:rsid w:val="00B1632F"/>
    <w:rsid w:val="00C666B0"/>
    <w:rsid w:val="00E4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E420EE-1C1E-4C58-9E4F-88338F3B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666B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A54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547F"/>
  </w:style>
  <w:style w:type="paragraph" w:styleId="Footer">
    <w:name w:val="footer"/>
    <w:basedOn w:val="Normal"/>
    <w:link w:val="FooterChar"/>
    <w:uiPriority w:val="99"/>
    <w:unhideWhenUsed/>
    <w:rsid w:val="003A54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donesia_procurement_ntt@wv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vision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Artahsasta Ho. Paha</cp:lastModifiedBy>
  <cp:revision>3</cp:revision>
  <dcterms:created xsi:type="dcterms:W3CDTF">2026-06-22T02:11:00Z</dcterms:created>
  <dcterms:modified xsi:type="dcterms:W3CDTF">2026-06-24T03:45:00Z</dcterms:modified>
</cp:coreProperties>
</file>